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60" w:before="240"/>
      </w:pPr>
      <w:r>
        <w:rPr>
          <w:color w:val="102A4A"/>
        </w:rPr>
        <w:t xml:space="preserve">Fairview Church of Christ</w:t>
      </w:r>
    </w:p>
    <w:p>
      <w:pPr>
        <w:spacing w:after="120" w:before="0"/>
      </w:pPr>
      <w:r>
        <w:rPr>
          <w:color w:val="5A6B7F"/>
          <w:sz w:val="28"/>
          <w:szCs w:val="28"/>
        </w:rPr>
        <w:t xml:space="preserve">2026 Congregational Assessment</w:t>
      </w:r>
    </w:p>
    <w:p>
      <w:pPr>
        <w:spacing w:after="360" w:before="0"/>
      </w:pPr>
      <w:r>
        <w:rPr>
          <w:color w:val="5A6B7F"/>
          <w:sz w:val="20"/>
          <w:szCs w:val="20"/>
        </w:rPr>
        <w:t xml:space="preserve">Completed 3 September 2026 · Kairos Congregational Maturity Model</w:t>
      </w:r>
    </w:p>
    <w:p>
      <w:pPr>
        <w:pStyle w:val="Heading1"/>
        <w:spacing w:after="160" w:before="240"/>
      </w:pPr>
      <w:r>
        <w:rPr>
          <w:color w:val="102A4A"/>
        </w:rPr>
        <w:t xml:space="preserve">The congregation's profile</w:t>
      </w:r>
    </w:p>
    <w:p>
      <w:pPr>
        <w:spacing w:after="200" w:before="0"/>
      </w:pPr>
      <w:r>
        <w:rPr>
          <w:color w:val="5A6B7F"/>
          <w:sz w:val="22"/>
          <w:szCs w:val="22"/>
        </w:rPr>
        <w:t xml:space="preserve">Each domain is marked on its own axis, innermost ring Gathered, outermost Sending. The shape is for reading, not for measuring: there is no overall stage here, and the seven are never averaged.</w:t>
      </w:r>
    </w:p>
    <w:p>
      <w:pPr>
        <w:jc w:val="center"/>
      </w:pPr>
      <w:r>
        <w:drawing>
          <wp:inline distT="0" distB="0" distL="0" distR="0">
            <wp:extent cx="5334000" cy="3848100"/>
            <wp:effectExtent t="0" r="0" b="0" l="0"/>
            <wp:docPr id="1" name="profile" descr="Leadership &amp; Organizational Structure: Equipped. Member Involvement &amp; Ownership: Established. Worship, Teaching &amp; Discipleship: Multiplying. Evangelism: Gathered. Benevolence: Equipped. Financial Stewardship: Established. Multiplication &amp; Sending: Established" title="Congregational maturity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34000" cy="3848100"/>
                    </a:xfrm>
                    <a:prstGeom prst="rect">
                      <a:avLst/>
                    </a:prstGeom>
                  </pic:spPr>
                </pic:pic>
              </a:graphicData>
            </a:graphic>
          </wp:inline>
        </w:drawing>
      </w:r>
    </w:p>
    <w:p>
      <w:pPr>
        <w:spacing w:after="200" w:before="0"/>
      </w:pPr>
      <w:r>
        <w:rPr>
          <w:sz w:val="22"/>
          <w:szCs w:val="22"/>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Mar>
              <w:top w:type="dxa" w:w="80"/>
              <w:left w:type="dxa" w:w="120"/>
              <w:bottom w:type="dxa" w:w="80"/>
              <w:right w:type="dxa" w:w="120"/>
            </w:tcMar>
          </w:tcPr>
          <w:p>
            <w:pPr>
              <w:spacing w:after="120" w:before="0"/>
            </w:pPr>
            <w:r>
              <w:rPr>
                <w:b/>
                <w:bCs/>
                <w:sz w:val="22"/>
                <w:szCs w:val="22"/>
              </w:rPr>
              <w:t xml:space="preserve">Domain</w:t>
            </w:r>
          </w:p>
        </w:tc>
        <w:tc>
          <w:tcPr>
            <w:tcMar>
              <w:top w:type="dxa" w:w="80"/>
              <w:left w:type="dxa" w:w="120"/>
              <w:bottom w:type="dxa" w:w="80"/>
              <w:right w:type="dxa" w:w="120"/>
            </w:tcMar>
          </w:tcPr>
          <w:p>
            <w:pPr>
              <w:spacing w:after="120" w:before="0"/>
            </w:pPr>
            <w:r>
              <w:rPr>
                <w:b/>
                <w:bCs/>
                <w:sz w:val="22"/>
                <w:szCs w:val="22"/>
              </w:rPr>
              <w:t xml:space="preserve">Agreed reading</w:t>
            </w:r>
          </w:p>
        </w:tc>
      </w:tr>
      <w:tr>
        <w:tc>
          <w:tcPr>
            <w:tcMar>
              <w:top w:type="dxa" w:w="80"/>
              <w:left w:type="dxa" w:w="120"/>
              <w:bottom w:type="dxa" w:w="80"/>
              <w:right w:type="dxa" w:w="120"/>
            </w:tcMar>
          </w:tcPr>
          <w:p>
            <w:pPr>
              <w:spacing w:after="120" w:before="0"/>
            </w:pPr>
            <w:r>
              <w:rPr>
                <w:b w:val="false"/>
                <w:bCs w:val="false"/>
                <w:sz w:val="22"/>
                <w:szCs w:val="22"/>
              </w:rPr>
              <w:t xml:space="preserve">Leadership &amp; Organizational Structure</w:t>
            </w:r>
          </w:p>
        </w:tc>
        <w:tc>
          <w:tcPr>
            <w:tcMar>
              <w:top w:type="dxa" w:w="80"/>
              <w:left w:type="dxa" w:w="120"/>
              <w:bottom w:type="dxa" w:w="80"/>
              <w:right w:type="dxa" w:w="120"/>
            </w:tcMar>
          </w:tcPr>
          <w:p>
            <w:pPr>
              <w:spacing w:after="120" w:before="0"/>
            </w:pPr>
            <w:r>
              <w:rPr>
                <w:b w:val="false"/>
                <w:bCs w:val="false"/>
                <w:sz w:val="22"/>
                <w:szCs w:val="22"/>
              </w:rPr>
              <w:t xml:space="preserve">Equipped</w:t>
            </w:r>
          </w:p>
        </w:tc>
      </w:tr>
      <w:tr>
        <w:tc>
          <w:tcPr>
            <w:tcMar>
              <w:top w:type="dxa" w:w="80"/>
              <w:left w:type="dxa" w:w="120"/>
              <w:bottom w:type="dxa" w:w="80"/>
              <w:right w:type="dxa" w:w="120"/>
            </w:tcMar>
          </w:tcPr>
          <w:p>
            <w:pPr>
              <w:spacing w:after="120" w:before="0"/>
            </w:pPr>
            <w:r>
              <w:rPr>
                <w:b w:val="false"/>
                <w:bCs w:val="false"/>
                <w:sz w:val="22"/>
                <w:szCs w:val="22"/>
              </w:rPr>
              <w:t xml:space="preserve">Member Involvement &amp; Ownership</w:t>
            </w:r>
          </w:p>
        </w:tc>
        <w:tc>
          <w:tcPr>
            <w:tcMar>
              <w:top w:type="dxa" w:w="80"/>
              <w:left w:type="dxa" w:w="120"/>
              <w:bottom w:type="dxa" w:w="80"/>
              <w:right w:type="dxa" w:w="120"/>
            </w:tcMar>
          </w:tcPr>
          <w:p>
            <w:pPr>
              <w:spacing w:after="120" w:before="0"/>
            </w:pPr>
            <w:r>
              <w:rPr>
                <w:b w:val="false"/>
                <w:bCs w:val="false"/>
                <w:sz w:val="22"/>
                <w:szCs w:val="22"/>
              </w:rPr>
              <w:t xml:space="preserve">Established</w:t>
            </w:r>
          </w:p>
        </w:tc>
      </w:tr>
      <w:tr>
        <w:tc>
          <w:tcPr>
            <w:tcMar>
              <w:top w:type="dxa" w:w="80"/>
              <w:left w:type="dxa" w:w="120"/>
              <w:bottom w:type="dxa" w:w="80"/>
              <w:right w:type="dxa" w:w="120"/>
            </w:tcMar>
          </w:tcPr>
          <w:p>
            <w:pPr>
              <w:spacing w:after="120" w:before="0"/>
            </w:pPr>
            <w:r>
              <w:rPr>
                <w:b w:val="false"/>
                <w:bCs w:val="false"/>
                <w:sz w:val="22"/>
                <w:szCs w:val="22"/>
              </w:rPr>
              <w:t xml:space="preserve">Worship, Teaching &amp; Discipleship</w:t>
            </w:r>
          </w:p>
        </w:tc>
        <w:tc>
          <w:tcPr>
            <w:tcMar>
              <w:top w:type="dxa" w:w="80"/>
              <w:left w:type="dxa" w:w="120"/>
              <w:bottom w:type="dxa" w:w="80"/>
              <w:right w:type="dxa" w:w="120"/>
            </w:tcMar>
          </w:tcPr>
          <w:p>
            <w:pPr>
              <w:spacing w:after="120" w:before="0"/>
            </w:pPr>
            <w:r>
              <w:rPr>
                <w:b w:val="false"/>
                <w:bCs w:val="false"/>
                <w:sz w:val="22"/>
                <w:szCs w:val="22"/>
              </w:rPr>
              <w:t xml:space="preserve">Multiplying</w:t>
            </w:r>
          </w:p>
        </w:tc>
      </w:tr>
      <w:tr>
        <w:tc>
          <w:tcPr>
            <w:tcMar>
              <w:top w:type="dxa" w:w="80"/>
              <w:left w:type="dxa" w:w="120"/>
              <w:bottom w:type="dxa" w:w="80"/>
              <w:right w:type="dxa" w:w="120"/>
            </w:tcMar>
          </w:tcPr>
          <w:p>
            <w:pPr>
              <w:spacing w:after="120" w:before="0"/>
            </w:pPr>
            <w:r>
              <w:rPr>
                <w:b w:val="false"/>
                <w:bCs w:val="false"/>
                <w:sz w:val="22"/>
                <w:szCs w:val="22"/>
              </w:rPr>
              <w:t xml:space="preserve">Evangelism</w:t>
            </w:r>
          </w:p>
        </w:tc>
        <w:tc>
          <w:tcPr>
            <w:tcMar>
              <w:top w:type="dxa" w:w="80"/>
              <w:left w:type="dxa" w:w="120"/>
              <w:bottom w:type="dxa" w:w="80"/>
              <w:right w:type="dxa" w:w="120"/>
            </w:tcMar>
          </w:tcPr>
          <w:p>
            <w:pPr>
              <w:spacing w:after="120" w:before="0"/>
            </w:pPr>
            <w:r>
              <w:rPr>
                <w:b w:val="false"/>
                <w:bCs w:val="false"/>
                <w:sz w:val="22"/>
                <w:szCs w:val="22"/>
              </w:rPr>
              <w:t xml:space="preserve">Gathered</w:t>
            </w:r>
          </w:p>
        </w:tc>
      </w:tr>
      <w:tr>
        <w:tc>
          <w:tcPr>
            <w:tcMar>
              <w:top w:type="dxa" w:w="80"/>
              <w:left w:type="dxa" w:w="120"/>
              <w:bottom w:type="dxa" w:w="80"/>
              <w:right w:type="dxa" w:w="120"/>
            </w:tcMar>
          </w:tcPr>
          <w:p>
            <w:pPr>
              <w:spacing w:after="120" w:before="0"/>
            </w:pPr>
            <w:r>
              <w:rPr>
                <w:b w:val="false"/>
                <w:bCs w:val="false"/>
                <w:sz w:val="22"/>
                <w:szCs w:val="22"/>
              </w:rPr>
              <w:t xml:space="preserve">Benevolence</w:t>
            </w:r>
          </w:p>
        </w:tc>
        <w:tc>
          <w:tcPr>
            <w:tcMar>
              <w:top w:type="dxa" w:w="80"/>
              <w:left w:type="dxa" w:w="120"/>
              <w:bottom w:type="dxa" w:w="80"/>
              <w:right w:type="dxa" w:w="120"/>
            </w:tcMar>
          </w:tcPr>
          <w:p>
            <w:pPr>
              <w:spacing w:after="120" w:before="0"/>
            </w:pPr>
            <w:r>
              <w:rPr>
                <w:b w:val="false"/>
                <w:bCs w:val="false"/>
                <w:sz w:val="22"/>
                <w:szCs w:val="22"/>
              </w:rPr>
              <w:t xml:space="preserve">Equipped</w:t>
            </w:r>
          </w:p>
        </w:tc>
      </w:tr>
      <w:tr>
        <w:tc>
          <w:tcPr>
            <w:tcMar>
              <w:top w:type="dxa" w:w="80"/>
              <w:left w:type="dxa" w:w="120"/>
              <w:bottom w:type="dxa" w:w="80"/>
              <w:right w:type="dxa" w:w="120"/>
            </w:tcMar>
          </w:tcPr>
          <w:p>
            <w:pPr>
              <w:spacing w:after="120" w:before="0"/>
            </w:pPr>
            <w:r>
              <w:rPr>
                <w:b w:val="false"/>
                <w:bCs w:val="false"/>
                <w:sz w:val="22"/>
                <w:szCs w:val="22"/>
              </w:rPr>
              <w:t xml:space="preserve">Financial Stewardship</w:t>
            </w:r>
          </w:p>
        </w:tc>
        <w:tc>
          <w:tcPr>
            <w:tcMar>
              <w:top w:type="dxa" w:w="80"/>
              <w:left w:type="dxa" w:w="120"/>
              <w:bottom w:type="dxa" w:w="80"/>
              <w:right w:type="dxa" w:w="120"/>
            </w:tcMar>
          </w:tcPr>
          <w:p>
            <w:pPr>
              <w:spacing w:after="120" w:before="0"/>
            </w:pPr>
            <w:r>
              <w:rPr>
                <w:b w:val="false"/>
                <w:bCs w:val="false"/>
                <w:sz w:val="22"/>
                <w:szCs w:val="22"/>
              </w:rPr>
              <w:t xml:space="preserve">Established</w:t>
            </w:r>
          </w:p>
        </w:tc>
      </w:tr>
      <w:tr>
        <w:tc>
          <w:tcPr>
            <w:tcMar>
              <w:top w:type="dxa" w:w="80"/>
              <w:left w:type="dxa" w:w="120"/>
              <w:bottom w:type="dxa" w:w="80"/>
              <w:right w:type="dxa" w:w="120"/>
            </w:tcMar>
          </w:tcPr>
          <w:p>
            <w:pPr>
              <w:spacing w:after="120" w:before="0"/>
            </w:pPr>
            <w:r>
              <w:rPr>
                <w:b w:val="false"/>
                <w:bCs w:val="false"/>
                <w:sz w:val="22"/>
                <w:szCs w:val="22"/>
              </w:rPr>
              <w:t xml:space="preserve">Multiplication &amp; Sending</w:t>
            </w:r>
          </w:p>
        </w:tc>
        <w:tc>
          <w:tcPr>
            <w:tcMar>
              <w:top w:type="dxa" w:w="80"/>
              <w:left w:type="dxa" w:w="120"/>
              <w:bottom w:type="dxa" w:w="80"/>
              <w:right w:type="dxa" w:w="120"/>
            </w:tcMar>
          </w:tcPr>
          <w:p>
            <w:pPr>
              <w:spacing w:after="120" w:before="0"/>
            </w:pPr>
            <w:r>
              <w:rPr>
                <w:b w:val="false"/>
                <w:bCs w:val="false"/>
                <w:sz w:val="22"/>
                <w:szCs w:val="22"/>
              </w:rPr>
              <w:t xml:space="preserve">Established</w:t>
            </w:r>
          </w:p>
        </w:tc>
      </w:tr>
    </w:tbl>
    <w:p>
      <w:r>
        <w:br w:type="page"/>
      </w:r>
    </w:p>
    <w:p>
      <w:pPr>
        <w:pStyle w:val="Heading1"/>
        <w:spacing w:after="160" w:before="240"/>
      </w:pPr>
      <w:r>
        <w:rPr>
          <w:color w:val="102A4A"/>
        </w:rPr>
        <w:t xml:space="preserve">Where to begin</w:t>
      </w:r>
    </w:p>
    <w:p>
      <w:pPr>
        <w:spacing w:after="120" w:before="200"/>
      </w:pPr>
      <w:r>
        <w:rPr>
          <w:b/>
          <w:bCs/>
          <w:sz w:val="22"/>
          <w:szCs w:val="22"/>
        </w:rPr>
        <w:t xml:space="preserve">Priority domains</w:t>
      </w:r>
    </w:p>
    <w:p>
      <w:pPr>
        <w:spacing w:after="120" w:before="0"/>
      </w:pPr>
      <w:r>
        <w:rPr>
          <w:sz w:val="22"/>
          <w:szCs w:val="22"/>
        </w:rPr>
        <w:t xml:space="preserve">Evangelism</w:t>
      </w:r>
    </w:p>
    <w:p>
      <w:pPr>
        <w:spacing w:after="120" w:before="200"/>
      </w:pPr>
      <w:r>
        <w:rPr>
          <w:b/>
          <w:bCs/>
          <w:sz w:val="22"/>
          <w:szCs w:val="22"/>
        </w:rPr>
        <w:t xml:space="preserve">Benevolent but silent</w:t>
      </w:r>
    </w:p>
    <w:p>
      <w:pPr>
        <w:spacing w:after="120" w:before="0"/>
      </w:pPr>
      <w:r>
        <w:rPr>
          <w:sz w:val="22"/>
          <w:szCs w:val="22"/>
        </w:rPr>
        <w:t xml:space="preserve">strong, well-run practical care (a food pantry, a crisis fund, consistent community assistance) with little or no evangelistic activity</w:t>
      </w:r>
    </w:p>
    <w:p>
      <w:pPr>
        <w:spacing w:after="120" w:before="0"/>
      </w:pPr>
      <w:r>
        <w:rPr>
          <w:i/>
          <w:iCs/>
          <w:sz w:val="22"/>
          <w:szCs w:val="22"/>
        </w:rPr>
        <w:t xml:space="preserve">Priority: the Evangelism steps for your current stage; excellent benevolence is not a substitute for gospel proclamation.</w:t>
      </w:r>
    </w:p>
    <w:p>
      <w:pPr>
        <w:spacing w:after="200" w:before="240"/>
      </w:pPr>
      <w:r>
        <w:rPr>
          <w:color w:val="5A6B7F"/>
          <w:sz w:val="22"/>
          <w:szCs w:val="22"/>
        </w:rPr>
        <w:t xml:space="preserve">The steps below are the ones the Maturity Model names for a congregation at Gathered, which is where Evangelism — this congregation's lowest reading — currently sits. The Maturity Model asks that the lowest domain set the pace, "even if it means choosing a smaller next step than your other domains might justify."</w:t>
      </w:r>
    </w:p>
    <w:p>
      <w:pPr>
        <w:spacing w:after="120" w:before="200"/>
      </w:pPr>
      <w:r>
        <w:rPr>
          <w:b/>
          <w:bCs/>
          <w:sz w:val="26"/>
          <w:szCs w:val="26"/>
        </w:rPr>
        <w:t xml:space="preserve">Steps Toward Stage 2: The Established Congregation</w:t>
      </w:r>
    </w:p>
    <w:p>
      <w:pPr>
        <w:spacing w:after="120" w:before="160"/>
      </w:pPr>
      <w:r>
        <w:rPr>
          <w:b/>
          <w:bCs/>
          <w:sz w:val="22"/>
          <w:szCs w:val="22"/>
        </w:rPr>
        <w:t xml:space="preserve">Primary growth edge</w:t>
      </w:r>
    </w:p>
    <w:p>
      <w:pPr>
        <w:spacing w:after="120" w:before="0"/>
      </w:pPr>
      <w:r>
        <w:rPr>
          <w:sz w:val="22"/>
          <w:szCs w:val="22"/>
        </w:rPr>
        <w:t xml:space="preserve">Moving from "a group of Christians meeting together" to "a congregation with biblical structure" — specifically, raising up and recognizing qualified elders and deacons rather than depending indefinitely on a single founding leader.</w:t>
      </w:r>
    </w:p>
    <w:p>
      <w:pPr>
        <w:spacing w:after="120" w:before="160"/>
      </w:pPr>
      <w:r>
        <w:rPr>
          <w:color w:val="5A6B7F"/>
          <w:sz w:val="22"/>
          <w:szCs w:val="22"/>
        </w:rPr>
        <w:t xml:space="preserve">Each step below is meant to be a focus of the whole congregation — not a task list for the eldership alone. Reaching the next stage typically requires a real, sustained commitment of time, money, training, and prayer; the steps and their metrics below are intended to make that commitment concrete and trackable rather than aspirational.</w:t>
      </w:r>
    </w:p>
    <w:p>
      <w:pPr>
        <w:spacing w:after="120" w:before="240"/>
      </w:pPr>
      <w:r>
        <w:rPr>
          <w:b/>
          <w:bCs/>
          <w:sz w:val="24"/>
          <w:szCs w:val="24"/>
        </w:rPr>
        <w:t xml:space="preserve">1. Identify and Disciple Future Elders and Deacons</w:t>
      </w:r>
    </w:p>
    <w:p>
      <w:pPr>
        <w:spacing w:after="120" w:before="0"/>
      </w:pPr>
      <w:r>
        <w:rPr>
          <w:sz w:val="22"/>
          <w:szCs w:val="22"/>
        </w:rPr>
        <w:t xml:space="preserve">Begin intentionally identifying men whose lives already reflect the qualifications described in 1 Timothy 3:1–7 and Titus 1:5–9 — not waiting for perfect candidates, but for men of demonstrated character who are teachable and willing to grow. This requires real investment of time, not just hope: a minister, or an elder borrowed from a sister congregation, meeting with these men regularly (monthly at minimum) to walk through Scripture together, observe how they manage their households and handle conflict, and pray for them by name. Treat this as a 12–24 month process. It is far better for a congregation to remain at this stage longer than to install men who do not yet meet the biblical qualifications under pressure to fill a gap. This step costs real money only modestly (curriculum, occasional travel to consult a sister eldership) but costs significant time and sustained, specific prayer — the whole congregation should know these men by name and be praying for them.</w:t>
      </w:r>
    </w:p>
    <w:p>
      <w:pPr>
        <w:spacing w:after="120" w:before="160"/>
      </w:pPr>
      <w:r>
        <w:rPr>
          <w:b/>
          <w:bCs/>
          <w:sz w:val="22"/>
          <w:szCs w:val="22"/>
        </w:rPr>
        <w:t xml:space="preserve">Success metrics</w:t>
      </w:r>
    </w:p>
    <w:p>
      <w:pPr>
        <w:pStyle w:val="ListParagraph"/>
        <w:numPr>
          <w:ilvl w:val="0"/>
          <w:numId w:val="1"/>
        </w:numPr>
        <w:spacing w:after="60"/>
      </w:pPr>
      <w:r>
        <w:rPr>
          <w:sz w:val="22"/>
          <w:szCs w:val="22"/>
        </w:rPr>
        <w:t xml:space="preserve">Number of men in an active, intentional eldership-track relationship (target: at least 2–3 men within 12 months)</w:t>
      </w:r>
    </w:p>
    <w:p>
      <w:pPr>
        <w:pStyle w:val="ListParagraph"/>
        <w:numPr>
          <w:ilvl w:val="0"/>
          <w:numId w:val="1"/>
        </w:numPr>
        <w:spacing w:after="60"/>
      </w:pPr>
      <w:r>
        <w:rPr>
          <w:sz w:val="22"/>
          <w:szCs w:val="22"/>
        </w:rPr>
        <w:t xml:space="preserve">Completion of a structured study of the qualifications in 1 Timothy 3 and Titus 1 with each candidate</w:t>
      </w:r>
    </w:p>
    <w:p>
      <w:pPr>
        <w:pStyle w:val="ListParagraph"/>
        <w:numPr>
          <w:ilvl w:val="0"/>
          <w:numId w:val="1"/>
        </w:numPr>
        <w:spacing w:after="60"/>
      </w:pPr>
      <w:r>
        <w:rPr>
          <w:sz w:val="22"/>
          <w:szCs w:val="22"/>
        </w:rPr>
        <w:t xml:space="preserve">These men named specifically in congregational prayer at least monthly</w:t>
      </w:r>
    </w:p>
    <w:p>
      <w:pPr>
        <w:pStyle w:val="ListParagraph"/>
        <w:numPr>
          <w:ilvl w:val="0"/>
          <w:numId w:val="1"/>
        </w:numPr>
        <w:spacing w:after="60"/>
      </w:pPr>
      <w:r>
        <w:rPr>
          <w:sz w:val="22"/>
          <w:szCs w:val="22"/>
        </w:rPr>
        <w:t xml:space="preserve">An eldership publicly installed and recognized within 24 months</w:t>
      </w:r>
    </w:p>
    <w:p>
      <w:pPr>
        <w:spacing w:after="120" w:before="240"/>
      </w:pPr>
      <w:r>
        <w:rPr>
          <w:b/>
          <w:bCs/>
          <w:sz w:val="24"/>
          <w:szCs w:val="24"/>
        </w:rPr>
        <w:t xml:space="preserve">2. Establish a Regular, Published Order of Worship and Teaching Calendar</w:t>
      </w:r>
    </w:p>
    <w:p>
      <w:pPr>
        <w:spacing w:after="120" w:before="0"/>
      </w:pPr>
      <w:r>
        <w:rPr>
          <w:sz w:val="22"/>
          <w:szCs w:val="22"/>
        </w:rPr>
        <w:t xml:space="preserve">Build and publish a teaching calendar at least one quarter in advance, so members know what to expect on a given Sunday and can invite a friend with confidence. Ensure the basic pattern of New Testament worship is consistently practiced — the public reading and teaching of Scripture, prayer, singing, the weekly observance of the Lord's Supper, and giving (Acts 2:42). This mostly requires planning time from the minister or a small teaching team, plus a simple, low-cost tool (a shared calendar, a printed or digital bulletin) to communicate it.</w:t>
      </w:r>
    </w:p>
    <w:p>
      <w:pPr>
        <w:spacing w:after="120" w:before="160"/>
      </w:pPr>
      <w:r>
        <w:rPr>
          <w:b/>
          <w:bCs/>
          <w:sz w:val="22"/>
          <w:szCs w:val="22"/>
        </w:rPr>
        <w:t xml:space="preserve">Success metrics</w:t>
      </w:r>
    </w:p>
    <w:p>
      <w:pPr>
        <w:pStyle w:val="ListParagraph"/>
        <w:numPr>
          <w:ilvl w:val="0"/>
          <w:numId w:val="1"/>
        </w:numPr>
        <w:spacing w:after="60"/>
      </w:pPr>
      <w:r>
        <w:rPr>
          <w:sz w:val="22"/>
          <w:szCs w:val="22"/>
        </w:rPr>
        <w:t xml:space="preserve">A published teaching calendar covering at least the upcoming quarter, available at all times</w:t>
      </w:r>
    </w:p>
    <w:p>
      <w:pPr>
        <w:pStyle w:val="ListParagraph"/>
        <w:numPr>
          <w:ilvl w:val="0"/>
          <w:numId w:val="1"/>
        </w:numPr>
        <w:spacing w:after="60"/>
      </w:pPr>
      <w:r>
        <w:rPr>
          <w:sz w:val="22"/>
          <w:szCs w:val="22"/>
        </w:rPr>
        <w:t xml:space="preserve">Percentage of Sundays with a topic or text communicated in advance (target: 100%)</w:t>
      </w:r>
    </w:p>
    <w:p>
      <w:pPr>
        <w:pStyle w:val="ListParagraph"/>
        <w:numPr>
          <w:ilvl w:val="0"/>
          <w:numId w:val="1"/>
        </w:numPr>
        <w:spacing w:after="60"/>
      </w:pPr>
      <w:r>
        <w:rPr>
          <w:sz w:val="22"/>
          <w:szCs w:val="22"/>
        </w:rPr>
        <w:t xml:space="preserve">Weekly observance of the Lord's Supper without interruption</w:t>
      </w:r>
    </w:p>
    <w:p>
      <w:pPr>
        <w:pStyle w:val="ListParagraph"/>
        <w:numPr>
          <w:ilvl w:val="0"/>
          <w:numId w:val="1"/>
        </w:numPr>
        <w:spacing w:after="60"/>
      </w:pPr>
      <w:r>
        <w:rPr>
          <w:sz w:val="22"/>
          <w:szCs w:val="22"/>
        </w:rPr>
        <w:t xml:space="preserve">A simple member survey showing increased clarity about what to expect on a given Sunday</w:t>
      </w:r>
    </w:p>
    <w:p>
      <w:pPr>
        <w:spacing w:after="120" w:before="240"/>
      </w:pPr>
      <w:r>
        <w:rPr>
          <w:b/>
          <w:bCs/>
          <w:sz w:val="24"/>
          <w:szCs w:val="24"/>
        </w:rPr>
        <w:t xml:space="preserve">3. Create a Simple Visitor-to-Member Pathway</w:t>
      </w:r>
    </w:p>
    <w:p>
      <w:pPr>
        <w:spacing w:after="120" w:before="0"/>
      </w:pPr>
      <w:r>
        <w:rPr>
          <w:sz w:val="22"/>
          <w:szCs w:val="22"/>
        </w:rPr>
        <w:t xml:space="preserve">Design and staff a basic process: a trained greeter at the door, a follow-up contact (call, text, or visit) within 48 hours, and a clear, low-pressure offer of a personal Bible study. This requires recruiting and briefly training 2–4 people, a simple way to capture visitor information, and consistent prayer for visitors by name in leadership meetings. None of this requires significant money — it requires consistency.</w:t>
      </w:r>
    </w:p>
    <w:p>
      <w:pPr>
        <w:spacing w:after="120" w:before="160"/>
      </w:pPr>
      <w:r>
        <w:rPr>
          <w:b/>
          <w:bCs/>
          <w:sz w:val="22"/>
          <w:szCs w:val="22"/>
        </w:rPr>
        <w:t xml:space="preserve">Success metrics</w:t>
      </w:r>
    </w:p>
    <w:p>
      <w:pPr>
        <w:pStyle w:val="ListParagraph"/>
        <w:numPr>
          <w:ilvl w:val="0"/>
          <w:numId w:val="1"/>
        </w:numPr>
        <w:spacing w:after="60"/>
      </w:pPr>
      <w:r>
        <w:rPr>
          <w:sz w:val="22"/>
          <w:szCs w:val="22"/>
        </w:rPr>
        <w:t xml:space="preserve">Percentage of first-time visitors who receive a personal follow-up within 48 hours (target: 100%)</w:t>
      </w:r>
    </w:p>
    <w:p>
      <w:pPr>
        <w:pStyle w:val="ListParagraph"/>
        <w:numPr>
          <w:ilvl w:val="0"/>
          <w:numId w:val="1"/>
        </w:numPr>
        <w:spacing w:after="60"/>
      </w:pPr>
      <w:r>
        <w:rPr>
          <w:sz w:val="22"/>
          <w:szCs w:val="22"/>
        </w:rPr>
        <w:t xml:space="preserve">Number of follow-up Bible studies initiated per quarter</w:t>
      </w:r>
    </w:p>
    <w:p>
      <w:pPr>
        <w:pStyle w:val="ListParagraph"/>
        <w:numPr>
          <w:ilvl w:val="0"/>
          <w:numId w:val="1"/>
        </w:numPr>
        <w:spacing w:after="60"/>
      </w:pPr>
      <w:r>
        <w:rPr>
          <w:sz w:val="22"/>
          <w:szCs w:val="22"/>
        </w:rPr>
        <w:t xml:space="preserve">Percentage of first-time visitors who return within 90 days</w:t>
      </w:r>
    </w:p>
    <w:p>
      <w:pPr>
        <w:spacing w:after="120" w:before="240"/>
      </w:pPr>
      <w:r>
        <w:rPr>
          <w:b/>
          <w:bCs/>
          <w:sz w:val="24"/>
          <w:szCs w:val="24"/>
        </w:rPr>
        <w:t xml:space="preserve">4. Begin a Basic Budget With a Dedicated Outreach Line</w:t>
      </w:r>
    </w:p>
    <w:p>
      <w:pPr>
        <w:spacing w:after="120" w:before="0"/>
      </w:pPr>
      <w:r>
        <w:rPr>
          <w:sz w:val="22"/>
          <w:szCs w:val="22"/>
        </w:rPr>
        <w:t xml:space="preserve">Adopt a written budget that separates ongoing operating costs (meeting space, minister support if any) from a dedicated, even modest, line for outreach and benevolence. Setting this aside prayerfully and somewhat sacrificially — in the spirit of the Macedonian congregations who gave generously out of genuine scarcity (2 Corinthians 8:1–5) — builds the habit of outward-facing generosity before it is easy, not after. This requires a treasurer or deacon willing to manage and report on it transparently.</w:t>
      </w:r>
    </w:p>
    <w:p>
      <w:pPr>
        <w:spacing w:after="120" w:before="160"/>
      </w:pPr>
      <w:r>
        <w:rPr>
          <w:b/>
          <w:bCs/>
          <w:sz w:val="22"/>
          <w:szCs w:val="22"/>
        </w:rPr>
        <w:t xml:space="preserve">Success metrics</w:t>
      </w:r>
    </w:p>
    <w:p>
      <w:pPr>
        <w:pStyle w:val="ListParagraph"/>
        <w:numPr>
          <w:ilvl w:val="0"/>
          <w:numId w:val="1"/>
        </w:numPr>
        <w:spacing w:after="60"/>
      </w:pPr>
      <w:r>
        <w:rPr>
          <w:sz w:val="22"/>
          <w:szCs w:val="22"/>
        </w:rPr>
        <w:t xml:space="preserve">A written budget separating operating from outreach/benevolence funds, adopted within 6 months</w:t>
      </w:r>
    </w:p>
    <w:p>
      <w:pPr>
        <w:pStyle w:val="ListParagraph"/>
        <w:numPr>
          <w:ilvl w:val="0"/>
          <w:numId w:val="1"/>
        </w:numPr>
        <w:spacing w:after="60"/>
      </w:pPr>
      <w:r>
        <w:rPr>
          <w:sz w:val="22"/>
          <w:szCs w:val="22"/>
        </w:rPr>
        <w:t xml:space="preserve">A defined percentage of total giving allocated to outreach (target: at least 5–10% even at this early stage)</w:t>
      </w:r>
    </w:p>
    <w:p>
      <w:pPr>
        <w:pStyle w:val="ListParagraph"/>
        <w:numPr>
          <w:ilvl w:val="0"/>
          <w:numId w:val="1"/>
        </w:numPr>
        <w:spacing w:after="60"/>
      </w:pPr>
      <w:r>
        <w:rPr>
          <w:sz w:val="22"/>
          <w:szCs w:val="22"/>
        </w:rPr>
        <w:t xml:space="preserve">Quarterly financial reporting shared with the congregation</w:t>
      </w:r>
    </w:p>
    <w:p>
      <w:pPr>
        <w:spacing w:after="120" w:before="240"/>
      </w:pPr>
      <w:r>
        <w:rPr>
          <w:b/>
          <w:bCs/>
          <w:sz w:val="24"/>
          <w:szCs w:val="24"/>
        </w:rPr>
        <w:t xml:space="preserve">5. Document and Communicate Decisions</w:t>
      </w:r>
    </w:p>
    <w:p>
      <w:pPr>
        <w:spacing w:after="120" w:before="0"/>
      </w:pPr>
      <w:r>
        <w:rPr>
          <w:sz w:val="22"/>
          <w:szCs w:val="22"/>
        </w:rPr>
        <w:t xml:space="preserve">Begin keeping simple written records of significant decisions and sharing them with the whole congregation through a bulletin, email, or a brief members' meeting — even before formal governance structures exist. This builds the habit and the trust that shared, plural leadership will eventually depend on, and prevents the congregation from being dependent on the memory or presence of any single person.</w:t>
      </w:r>
    </w:p>
    <w:p>
      <w:pPr>
        <w:spacing w:after="120" w:before="160"/>
      </w:pPr>
      <w:r>
        <w:rPr>
          <w:b/>
          <w:bCs/>
          <w:sz w:val="22"/>
          <w:szCs w:val="22"/>
        </w:rPr>
        <w:t xml:space="preserve">Success metrics</w:t>
      </w:r>
    </w:p>
    <w:p>
      <w:pPr>
        <w:pStyle w:val="ListParagraph"/>
        <w:numPr>
          <w:ilvl w:val="0"/>
          <w:numId w:val="1"/>
        </w:numPr>
        <w:spacing w:after="60"/>
      </w:pPr>
      <w:r>
        <w:rPr>
          <w:sz w:val="22"/>
          <w:szCs w:val="22"/>
        </w:rPr>
        <w:t xml:space="preserve">A regular (at least monthly) summary of decisions communicated to the congregation</w:t>
      </w:r>
    </w:p>
    <w:p>
      <w:pPr>
        <w:pStyle w:val="ListParagraph"/>
        <w:numPr>
          <w:ilvl w:val="0"/>
          <w:numId w:val="1"/>
        </w:numPr>
        <w:spacing w:after="60"/>
      </w:pPr>
      <w:r>
        <w:rPr>
          <w:sz w:val="22"/>
          <w:szCs w:val="22"/>
        </w:rPr>
        <w:t xml:space="preserve">Written minutes or notes kept for significant decisions</w:t>
      </w:r>
    </w:p>
    <w:p>
      <w:pPr>
        <w:pStyle w:val="ListParagraph"/>
        <w:numPr>
          <w:ilvl w:val="0"/>
          <w:numId w:val="1"/>
        </w:numPr>
        <w:spacing w:after="60"/>
      </w:pPr>
      <w:r>
        <w:rPr>
          <w:sz w:val="22"/>
          <w:szCs w:val="22"/>
        </w:rPr>
        <w:t xml:space="preserve">Member survey indicating confidence in and clarity about how decisions are made</w:t>
      </w:r>
    </w:p>
    <w:p>
      <w:r>
        <w:br w:type="page"/>
      </w:r>
    </w:p>
    <w:p>
      <w:pPr>
        <w:pStyle w:val="Heading1"/>
        <w:spacing w:after="160" w:before="240"/>
      </w:pPr>
      <w:r>
        <w:rPr>
          <w:color w:val="102A4A"/>
        </w:rPr>
        <w:t xml:space="preserve">The seven domains in turn</w:t>
      </w:r>
    </w:p>
    <w:p>
      <w:pPr>
        <w:spacing w:after="240" w:before="0"/>
      </w:pPr>
      <w:r>
        <w:rPr>
          <w:color w:val="5A6B7F"/>
          <w:sz w:val="22"/>
          <w:szCs w:val="22"/>
        </w:rPr>
        <w:t xml:space="preserve">Where each domain reads today, and what the stage above it looks like. The Maturity Model writes its growth steps for a congregation as a whole rather than domain by domain, so those appear once, above. This section is for seeing each domain's own position clearly — not for working on all seven at once, which the Maturity Model advises against.</w:t>
      </w:r>
    </w:p>
    <w:p>
      <w:pPr>
        <w:pStyle w:val="Heading2"/>
        <w:spacing w:after="160" w:before="240"/>
      </w:pPr>
      <w:r>
        <w:rPr>
          <w:color w:val="102A4A"/>
        </w:rPr>
        <w:t xml:space="preserve">Leadership &amp; Organizational Structure</w:t>
      </w:r>
    </w:p>
    <w:p>
      <w:pPr>
        <w:spacing w:after="120" w:before="0"/>
      </w:pPr>
      <w:r>
        <w:rPr>
          <w:b/>
          <w:bCs/>
          <w:sz w:val="22"/>
          <w:szCs w:val="22"/>
        </w:rPr>
        <w:t xml:space="preserve">Reads as Equipped</w:t>
      </w:r>
    </w:p>
    <w:p>
      <w:pPr>
        <w:spacing w:after="200" w:before="0"/>
      </w:pPr>
      <w:r>
        <w:rPr>
          <w:color w:val="5A6B7F"/>
          <w:sz w:val="22"/>
          <w:szCs w:val="22"/>
        </w:rPr>
        <w:t xml:space="preserve">This is the furthest stage the model describes. What follows is sustaining what is here, not advancing beyond it.</w:t>
      </w:r>
    </w:p>
    <w:p>
      <w:pPr>
        <w:pStyle w:val="Heading2"/>
        <w:spacing w:after="160" w:before="240"/>
      </w:pPr>
      <w:r>
        <w:rPr>
          <w:color w:val="102A4A"/>
        </w:rPr>
        <w:t xml:space="preserve">Member Involvement &amp; Ownership</w:t>
      </w:r>
    </w:p>
    <w:p>
      <w:pPr>
        <w:spacing w:after="120" w:before="0"/>
      </w:pPr>
      <w:r>
        <w:rPr>
          <w:b/>
          <w:bCs/>
          <w:sz w:val="22"/>
          <w:szCs w:val="22"/>
        </w:rPr>
        <w:t xml:space="preserve">Reads as Established</w:t>
      </w:r>
    </w:p>
    <w:p>
      <w:pPr>
        <w:spacing w:after="200" w:before="0"/>
      </w:pPr>
      <w:r>
        <w:rPr>
          <w:color w:val="5A6B7F"/>
          <w:sz w:val="22"/>
          <w:szCs w:val="22"/>
        </w:rPr>
        <w:t xml:space="preserve">This is the furthest stage the model describes. What follows is sustaining what is here, not advancing beyond it.</w:t>
      </w:r>
    </w:p>
    <w:p>
      <w:pPr>
        <w:pStyle w:val="Heading2"/>
        <w:spacing w:after="160" w:before="240"/>
      </w:pPr>
      <w:r>
        <w:rPr>
          <w:color w:val="102A4A"/>
        </w:rPr>
        <w:t xml:space="preserve">Worship, Teaching &amp; Discipleship</w:t>
      </w:r>
    </w:p>
    <w:p>
      <w:pPr>
        <w:spacing w:after="120" w:before="0"/>
      </w:pPr>
      <w:r>
        <w:rPr>
          <w:b/>
          <w:bCs/>
          <w:sz w:val="22"/>
          <w:szCs w:val="22"/>
        </w:rPr>
        <w:t xml:space="preserve">Reads as Multiplying</w:t>
      </w:r>
    </w:p>
    <w:p>
      <w:pPr>
        <w:spacing w:after="200" w:before="0"/>
      </w:pPr>
      <w:r>
        <w:rPr>
          <w:color w:val="5A6B7F"/>
          <w:sz w:val="22"/>
          <w:szCs w:val="22"/>
        </w:rPr>
        <w:t xml:space="preserve">This is the furthest stage the model describes. What follows is sustaining what is here, not advancing beyond it.</w:t>
      </w:r>
    </w:p>
    <w:p>
      <w:pPr>
        <w:pStyle w:val="Heading2"/>
        <w:spacing w:after="160" w:before="240"/>
      </w:pPr>
      <w:r>
        <w:rPr>
          <w:color w:val="102A4A"/>
        </w:rPr>
        <w:t xml:space="preserve">Evangelism</w:t>
      </w:r>
    </w:p>
    <w:p>
      <w:pPr>
        <w:spacing w:after="120" w:before="0"/>
      </w:pPr>
      <w:r>
        <w:rPr>
          <w:b/>
          <w:bCs/>
          <w:sz w:val="22"/>
          <w:szCs w:val="22"/>
        </w:rPr>
        <w:t xml:space="preserve">Reads as Gathered</w:t>
      </w:r>
    </w:p>
    <w:p>
      <w:pPr>
        <w:spacing w:after="120" w:before="0"/>
      </w:pPr>
      <w:r>
        <w:rPr>
          <w:sz w:val="22"/>
          <w:szCs w:val="22"/>
        </w:rPr>
        <w:t xml:space="preserve">Evangelism happens personally, member to friend, rather than through any organized effort or training.</w:t>
      </w:r>
    </w:p>
    <w:p>
      <w:pPr>
        <w:spacing w:after="120" w:before="120"/>
      </w:pPr>
      <w:r>
        <w:rPr>
          <w:b/>
          <w:bCs/>
          <w:sz w:val="22"/>
          <w:szCs w:val="22"/>
        </w:rPr>
        <w:t xml:space="preserve">Toward Established</w:t>
      </w:r>
    </w:p>
    <w:p>
      <w:pPr>
        <w:spacing w:after="200" w:before="0"/>
      </w:pPr>
      <w:r>
        <w:rPr>
          <w:sz w:val="22"/>
          <w:szCs w:val="22"/>
        </w:rPr>
        <w:t xml:space="preserve">An outreach or missions committee exists and is budgeted, but evangelism is often “outsourced” to that committee rather than owned by the whole body.</w:t>
      </w:r>
    </w:p>
    <w:p>
      <w:pPr>
        <w:pStyle w:val="Heading2"/>
        <w:spacing w:after="160" w:before="240"/>
      </w:pPr>
      <w:r>
        <w:rPr>
          <w:color w:val="102A4A"/>
        </w:rPr>
        <w:t xml:space="preserve">Benevolence</w:t>
      </w:r>
    </w:p>
    <w:p>
      <w:pPr>
        <w:spacing w:after="120" w:before="0"/>
      </w:pPr>
      <w:r>
        <w:rPr>
          <w:b/>
          <w:bCs/>
          <w:sz w:val="22"/>
          <w:szCs w:val="22"/>
        </w:rPr>
        <w:t xml:space="preserve">Reads as Equipped</w:t>
      </w:r>
    </w:p>
    <w:p>
      <w:pPr>
        <w:spacing w:after="200" w:before="0"/>
      </w:pPr>
      <w:r>
        <w:rPr>
          <w:color w:val="5A6B7F"/>
          <w:sz w:val="22"/>
          <w:szCs w:val="22"/>
        </w:rPr>
        <w:t xml:space="preserve">This is the furthest stage the model describes. What follows is sustaining what is here, not advancing beyond it.</w:t>
      </w:r>
    </w:p>
    <w:p>
      <w:pPr>
        <w:pStyle w:val="Heading2"/>
        <w:spacing w:after="160" w:before="240"/>
      </w:pPr>
      <w:r>
        <w:rPr>
          <w:color w:val="102A4A"/>
        </w:rPr>
        <w:t xml:space="preserve">Financial Stewardship</w:t>
      </w:r>
    </w:p>
    <w:p>
      <w:pPr>
        <w:spacing w:after="120" w:before="0"/>
      </w:pPr>
      <w:r>
        <w:rPr>
          <w:b/>
          <w:bCs/>
          <w:sz w:val="22"/>
          <w:szCs w:val="22"/>
        </w:rPr>
        <w:t xml:space="preserve">Reads as Established</w:t>
      </w:r>
    </w:p>
    <w:p>
      <w:pPr>
        <w:spacing w:after="200" w:before="0"/>
      </w:pPr>
      <w:r>
        <w:rPr>
          <w:color w:val="5A6B7F"/>
          <w:sz w:val="22"/>
          <w:szCs w:val="22"/>
        </w:rPr>
        <w:t xml:space="preserve">This is the furthest stage the model describes. What follows is sustaining what is here, not advancing beyond it.</w:t>
      </w:r>
    </w:p>
    <w:p>
      <w:pPr>
        <w:pStyle w:val="Heading2"/>
        <w:spacing w:after="160" w:before="240"/>
      </w:pPr>
      <w:r>
        <w:rPr>
          <w:color w:val="102A4A"/>
        </w:rPr>
        <w:t xml:space="preserve">Multiplication &amp; Sending</w:t>
      </w:r>
    </w:p>
    <w:p>
      <w:pPr>
        <w:spacing w:after="120" w:before="0"/>
      </w:pPr>
      <w:r>
        <w:rPr>
          <w:b/>
          <w:bCs/>
          <w:sz w:val="22"/>
          <w:szCs w:val="22"/>
        </w:rPr>
        <w:t xml:space="preserve">Reads as Established</w:t>
      </w:r>
    </w:p>
    <w:p>
      <w:pPr>
        <w:spacing w:after="200" w:before="0"/>
      </w:pPr>
      <w:r>
        <w:rPr>
          <w:color w:val="5A6B7F"/>
          <w:sz w:val="22"/>
          <w:szCs w:val="22"/>
        </w:rPr>
        <w:t xml:space="preserve">This is the furthest stage the model describes. What follows is sustaining what is here, not advancing beyond it.</w:t>
      </w:r>
    </w:p>
    <w:p>
      <w:r>
        <w:br w:type="page"/>
      </w:r>
    </w:p>
    <w:p>
      <w:pPr>
        <w:pStyle w:val="Heading1"/>
        <w:spacing w:after="160" w:before="240"/>
      </w:pPr>
      <w:r>
        <w:rPr>
          <w:color w:val="102A4A"/>
        </w:rPr>
        <w:t xml:space="preserve">Notes on reading this</w:t>
      </w:r>
    </w:p>
    <w:p>
      <w:pPr>
        <w:spacing w:after="120" w:before="200"/>
      </w:pPr>
      <w:r>
        <w:rPr>
          <w:b/>
          <w:bCs/>
          <w:sz w:val="22"/>
          <w:szCs w:val="22"/>
        </w:rPr>
        <w:t xml:space="preserve">Choosing your next steps</w:t>
      </w:r>
    </w:p>
    <w:p>
      <w:pPr>
        <w:spacing w:after="120" w:before="0"/>
      </w:pPr>
      <w:r>
        <w:rPr>
          <w:sz w:val="22"/>
          <w:szCs w:val="22"/>
        </w:rPr>
        <w:t xml:space="preserve">Weigh Leadership &amp; Structure and Financial Stewardship first — these two most directly limit what your congregation can actually sustain, even when other domains such as Evangelism or Benevolence appear further along.</w:t>
      </w:r>
    </w:p>
    <w:p>
      <w:pPr>
        <w:spacing w:after="120" w:before="200"/>
      </w:pPr>
      <w:r>
        <w:rPr>
          <w:b/>
          <w:bCs/>
          <w:sz w:val="22"/>
          <w:szCs w:val="22"/>
        </w:rPr>
        <w:t xml:space="preserve">Before any outward-facing step</w:t>
      </w:r>
    </w:p>
    <w:p>
      <w:pPr>
        <w:spacing w:after="120" w:before="0"/>
      </w:pPr>
      <w:r>
        <w:rPr>
          <w:sz w:val="22"/>
          <w:szCs w:val="22"/>
        </w:rPr>
        <w:t xml:space="preserve">Before committing to any evangelistic or outreach effort, take honest stock of basic infrastructure — a working website, an active way to communicate, a simple way to invite people online. A congregation can score well on every other domain and still lack this footing; where that's the case, start there, or lean on lower-infrastructure approaches (personal invitation, print, in-person events) in the meantime.</w:t>
      </w:r>
    </w:p>
    <w:p>
      <w:pPr>
        <w:spacing w:after="120" w:before="200"/>
      </w:pPr>
      <w:r>
        <w:rPr>
          <w:b/>
          <w:bCs/>
          <w:sz w:val="22"/>
          <w:szCs w:val="22"/>
        </w:rPr>
        <w:t xml:space="preserve">Cross-checking with member sentiment</w:t>
      </w:r>
    </w:p>
    <w:p>
      <w:pPr>
        <w:spacing w:after="120" w:before="0"/>
      </w:pPr>
      <w:r>
        <w:rPr>
          <w:sz w:val="22"/>
          <w:szCs w:val="22"/>
        </w:rPr>
        <w:t xml:space="preserve">Compare your leadership conversation's answers against the aggregate results of the Section VII member pulse survey, domain by domain. Where the two sources diverge significantly, don't average them into a middle score — treat the gap itself as something worth raising directly and honestly among your leadership, and, where appropriate, with the congregation.</w:t>
      </w:r>
    </w:p>
    <w:p>
      <w:pPr>
        <w:spacing w:after="120" w:before="200"/>
      </w:pPr>
      <w:r>
        <w:rPr>
          <w:b/>
          <w:bCs/>
          <w:sz w:val="22"/>
          <w:szCs w:val="22"/>
        </w:rPr>
        <w:t xml:space="preserve">Member pulse survey</w:t>
      </w:r>
    </w:p>
    <w:p>
      <w:pPr>
        <w:spacing w:after="120" w:before="0"/>
      </w:pPr>
      <w:r>
        <w:rPr>
          <w:sz w:val="22"/>
          <w:szCs w:val="22"/>
        </w:rPr>
        <w:t xml:space="preserve">14 members responded. Responses are anonymous by design, and aggregates are withheld below five.</w:t>
      </w:r>
    </w:p>
    <w:p>
      <w:pPr>
        <w:spacing w:after="120" w:before="0"/>
      </w:pPr>
      <w:r>
        <w:rPr>
          <w:sz w:val="22"/>
          <w:szCs w:val="22"/>
        </w:rPr>
        <w:t xml:space="preserve">Where the leadership's reading and the members' answers are compared, only wide differences are reported. A domain read in the middle of the scale will not produce one, so silence here is not agreement — it means the two readings were not far enough apart to be worth putting in front of you.</w:t>
      </w:r>
    </w:p>
    <w:p>
      <w:pPr>
        <w:spacing w:after="120" w:before="240"/>
      </w:pPr>
      <w:r>
        <w:rPr>
          <w:i/>
          <w:iCs/>
          <w:color w:val="5A6B7F"/>
          <w:sz w:val="22"/>
          <w:szCs w:val="22"/>
        </w:rPr>
        <w:t xml:space="preserve">This model categorises organisational and missional capacity. It is not a measure of this congregation's faithfulness or worth before God.</w:t>
      </w:r>
    </w:p>
    <w:p>
      <w:pPr>
        <w:spacing w:after="120" w:before="160"/>
      </w:pPr>
      <w:r>
        <w:rPr>
          <w:color w:val="5A6B7F"/>
          <w:sz w:val="18"/>
          <w:szCs w:val="18"/>
        </w:rPr>
        <w:t xml:space="preserve">Assessed against the Kairos Congregational Maturity Model, edition V13.</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377aa51f938e2a2cac77457aceb57ad9504e68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Fairview Church of Christ — 2026 Congregational Assessment</dc:title>
  <dc:creator>Kairos Congregational Maturity Assessment</dc:creator>
  <dc:description>Congregational maturity assessment results, with the growth steps the Maturity Model names for this congregation's lowest-reading domain.</dc:description>
  <cp:lastModifiedBy>Un-named</cp:lastModifiedBy>
  <cp:revision>1</cp:revision>
  <dcterms:created xsi:type="dcterms:W3CDTF">2026-09-03T18:38:55.632Z</dcterms:created>
  <dcterms:modified xsi:type="dcterms:W3CDTF">2026-09-03T18:38:55.633Z</dcterms:modified>
</cp:coreProperties>
</file>

<file path=docProps/custom.xml><?xml version="1.0" encoding="utf-8"?>
<Properties xmlns="http://schemas.openxmlformats.org/officeDocument/2006/custom-properties" xmlns:vt="http://schemas.openxmlformats.org/officeDocument/2006/docPropsVTypes"/>
</file>